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5066EA" w:rsidRPr="00231E8F">
        <w:rPr>
          <w:rFonts w:ascii="Times New Roman" w:hAnsi="Times New Roman"/>
          <w:sz w:val="24"/>
          <w:szCs w:val="24"/>
        </w:rPr>
        <w:t>8</w:t>
      </w:r>
      <w:r w:rsidR="00870E4E">
        <w:rPr>
          <w:rFonts w:ascii="Times New Roman" w:hAnsi="Times New Roman"/>
          <w:sz w:val="24"/>
          <w:szCs w:val="24"/>
        </w:rPr>
        <w:t xml:space="preserve"> к Договору №</w:t>
      </w:r>
      <w:r w:rsidR="00D126CD" w:rsidRPr="005F5E9F">
        <w:rPr>
          <w:rFonts w:ascii="Times New Roman" w:hAnsi="Times New Roman"/>
          <w:sz w:val="24"/>
          <w:szCs w:val="24"/>
        </w:rPr>
        <w:t xml:space="preserve"> </w:t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</w:r>
      <w:r w:rsidR="00764BC7" w:rsidRPr="00C220E4">
        <w:rPr>
          <w:rFonts w:ascii="Times New Roman" w:hAnsi="Times New Roman"/>
          <w:sz w:val="24"/>
          <w:szCs w:val="24"/>
        </w:rPr>
        <w:softHyphen/>
        <w:t>_____________</w:t>
      </w:r>
      <w:r w:rsidR="00D126CD" w:rsidRPr="005F5E9F">
        <w:rPr>
          <w:rFonts w:ascii="Times New Roman" w:hAnsi="Times New Roman"/>
          <w:sz w:val="24"/>
          <w:szCs w:val="24"/>
        </w:rPr>
        <w:t xml:space="preserve">                </w:t>
      </w:r>
      <w:r w:rsidR="00870E4E">
        <w:rPr>
          <w:rFonts w:ascii="Times New Roman" w:hAnsi="Times New Roman"/>
          <w:sz w:val="24"/>
          <w:szCs w:val="24"/>
        </w:rPr>
        <w:t xml:space="preserve"> 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4BC7" w:rsidRPr="00C220E4" w:rsidRDefault="00764BC7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>банковск</w:t>
      </w:r>
      <w:r w:rsidR="00F75801">
        <w:rPr>
          <w:rFonts w:ascii="Times New Roman" w:hAnsi="Times New Roman"/>
          <w:b/>
          <w:sz w:val="24"/>
          <w:szCs w:val="24"/>
        </w:rPr>
        <w:t>ой гарантии</w:t>
      </w:r>
      <w:r w:rsidR="00235E05"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Pr="00C220E4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BC7" w:rsidRPr="00C220E4" w:rsidRDefault="00764BC7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1852D1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именуемое в дальнейшем 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«</w:t>
      </w:r>
      <w:r w:rsidR="00F75801"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Покупатель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»,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лице </w:t>
      </w:r>
      <w:r w:rsidR="00870E4E" w:rsidRPr="00870E4E">
        <w:rPr>
          <w:rFonts w:ascii="Times New Roman" w:eastAsia="Times New Roman" w:hAnsi="Times New Roman" w:cs="Calibri"/>
          <w:sz w:val="24"/>
          <w:szCs w:val="24"/>
          <w:lang w:eastAsia="ru-RU"/>
        </w:rPr>
        <w:t>Генерального директора Алексея Сергеевича Савченко, действующего на основании Устава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>, с одной стороны, и,</w:t>
      </w:r>
    </w:p>
    <w:p w:rsidR="00D35A02" w:rsidRPr="001852D1" w:rsidRDefault="00870E4E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870E4E">
        <w:rPr>
          <w:rFonts w:ascii="Times New Roman" w:eastAsiaTheme="minorHAnsi" w:hAnsi="Times New Roman" w:cs="Calibri"/>
          <w:b/>
          <w:sz w:val="24"/>
          <w:szCs w:val="24"/>
        </w:rPr>
        <w:t>Общество с ограниченной ответственностью «</w:t>
      </w:r>
      <w:r w:rsidR="00764BC7" w:rsidRPr="00764BC7">
        <w:rPr>
          <w:rFonts w:ascii="Times New Roman" w:eastAsiaTheme="minorHAnsi" w:hAnsi="Times New Roman" w:cs="Calibri"/>
          <w:b/>
          <w:sz w:val="24"/>
          <w:szCs w:val="24"/>
        </w:rPr>
        <w:t>_______________</w:t>
      </w:r>
      <w:r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», </w:t>
      </w:r>
      <w:r w:rsidRPr="00870E4E">
        <w:rPr>
          <w:rFonts w:ascii="Times New Roman" w:eastAsiaTheme="minorHAnsi" w:hAnsi="Times New Roman" w:cs="Calibri"/>
          <w:sz w:val="24"/>
          <w:szCs w:val="24"/>
        </w:rPr>
        <w:t>именуемое в дальнейшем</w:t>
      </w:r>
      <w:r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 «Поставщик», </w:t>
      </w:r>
      <w:r w:rsidRPr="00870E4E">
        <w:rPr>
          <w:rFonts w:ascii="Times New Roman" w:eastAsiaTheme="minorHAnsi" w:hAnsi="Times New Roman" w:cs="Calibri"/>
          <w:sz w:val="24"/>
          <w:szCs w:val="24"/>
        </w:rPr>
        <w:t xml:space="preserve">в лице Генерального директора </w:t>
      </w:r>
      <w:r w:rsidR="00764BC7" w:rsidRPr="00764BC7">
        <w:rPr>
          <w:rFonts w:ascii="Times New Roman" w:eastAsiaTheme="minorHAnsi" w:hAnsi="Times New Roman" w:cs="Calibri"/>
          <w:sz w:val="24"/>
          <w:szCs w:val="24"/>
        </w:rPr>
        <w:t>__________________</w:t>
      </w:r>
      <w:r w:rsidRPr="00870E4E">
        <w:rPr>
          <w:rFonts w:ascii="Times New Roman" w:eastAsiaTheme="minorHAnsi" w:hAnsi="Times New Roman" w:cs="Calibri"/>
          <w:sz w:val="24"/>
          <w:szCs w:val="24"/>
        </w:rPr>
        <w:t>, действующего на основании Устава</w:t>
      </w:r>
      <w:r w:rsidR="00D35A02" w:rsidRPr="001852D1">
        <w:rPr>
          <w:rFonts w:ascii="Times New Roman" w:eastAsiaTheme="minorHAnsi" w:hAnsi="Times New Roman" w:cs="Calibri"/>
          <w:sz w:val="24"/>
          <w:szCs w:val="24"/>
        </w:rPr>
        <w:t xml:space="preserve">, с другой стороны, </w:t>
      </w:r>
    </w:p>
    <w:p w:rsidR="00D35A02" w:rsidRPr="00CA3380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D35A02" w:rsidRPr="0036743E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>
        <w:rPr>
          <w:rFonts w:ascii="Times New Roman" w:eastAsiaTheme="minorHAnsi" w:hAnsi="Times New Roman"/>
          <w:sz w:val="24"/>
          <w:szCs w:val="24"/>
        </w:rPr>
        <w:t>к банковск</w:t>
      </w:r>
      <w:r w:rsidR="00F75801">
        <w:rPr>
          <w:rFonts w:ascii="Times New Roman" w:eastAsiaTheme="minorHAnsi" w:hAnsi="Times New Roman"/>
          <w:sz w:val="24"/>
          <w:szCs w:val="24"/>
        </w:rPr>
        <w:t>ой</w:t>
      </w:r>
      <w:r w:rsidR="00235E05">
        <w:rPr>
          <w:rFonts w:ascii="Times New Roman" w:eastAsiaTheme="minorHAnsi" w:hAnsi="Times New Roman"/>
          <w:sz w:val="24"/>
          <w:szCs w:val="24"/>
        </w:rPr>
        <w:t xml:space="preserve"> гаранти</w:t>
      </w:r>
      <w:r w:rsidR="00F75801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CA3380">
        <w:rPr>
          <w:rFonts w:ascii="Times New Roman" w:hAnsi="Times New Roman"/>
          <w:sz w:val="24"/>
          <w:szCs w:val="24"/>
        </w:rPr>
        <w:t xml:space="preserve">Договора </w:t>
      </w:r>
      <w:r w:rsidR="00F75801">
        <w:rPr>
          <w:rFonts w:ascii="Times New Roman" w:hAnsi="Times New Roman"/>
          <w:sz w:val="24"/>
          <w:szCs w:val="24"/>
        </w:rPr>
        <w:t>поставки</w:t>
      </w:r>
      <w:r w:rsidRPr="00CA3380">
        <w:rPr>
          <w:rFonts w:ascii="Times New Roman" w:hAnsi="Times New Roman"/>
          <w:sz w:val="24"/>
          <w:szCs w:val="24"/>
        </w:rPr>
        <w:t xml:space="preserve"> </w:t>
      </w:r>
      <w:r w:rsidR="00223D1A">
        <w:rPr>
          <w:rFonts w:ascii="Times New Roman" w:hAnsi="Times New Roman"/>
          <w:sz w:val="24"/>
          <w:szCs w:val="24"/>
        </w:rPr>
        <w:t>№</w:t>
      </w:r>
      <w:r w:rsidR="00764BC7" w:rsidRPr="00764BC7">
        <w:rPr>
          <w:rFonts w:ascii="Times New Roman" w:hAnsi="Times New Roman"/>
          <w:sz w:val="24"/>
          <w:szCs w:val="24"/>
        </w:rPr>
        <w:t>_____________</w:t>
      </w:r>
      <w:r w:rsidRPr="00CA3380">
        <w:rPr>
          <w:rFonts w:ascii="Times New Roman" w:eastAsiaTheme="minorHAnsi" w:hAnsi="Times New Roman"/>
          <w:sz w:val="24"/>
          <w:szCs w:val="24"/>
        </w:rPr>
        <w:t>: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>
        <w:rPr>
          <w:rFonts w:ascii="Times New Roman" w:hAnsi="Times New Roman"/>
          <w:b/>
          <w:sz w:val="24"/>
          <w:szCs w:val="24"/>
        </w:rPr>
        <w:t>К БАНКОВСК</w:t>
      </w:r>
      <w:r w:rsidR="00F75801">
        <w:rPr>
          <w:rFonts w:ascii="Times New Roman" w:hAnsi="Times New Roman"/>
          <w:b/>
          <w:sz w:val="24"/>
          <w:szCs w:val="24"/>
        </w:rPr>
        <w:t>ОЙ</w:t>
      </w:r>
      <w:r w:rsidR="00235E05">
        <w:rPr>
          <w:rFonts w:ascii="Times New Roman" w:hAnsi="Times New Roman"/>
          <w:b/>
          <w:sz w:val="24"/>
          <w:szCs w:val="24"/>
        </w:rPr>
        <w:t xml:space="preserve"> ГАРАНТИ</w:t>
      </w:r>
      <w:r w:rsidR="00F7580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A404A">
        <w:rPr>
          <w:rFonts w:ascii="Times New Roman" w:hAnsi="Times New Roman" w:cs="Times New Roman"/>
          <w:sz w:val="24"/>
          <w:szCs w:val="24"/>
        </w:rPr>
        <w:t>Банковск</w:t>
      </w:r>
      <w:r w:rsidR="00F75801">
        <w:rPr>
          <w:rFonts w:ascii="Times New Roman" w:hAnsi="Times New Roman" w:cs="Times New Roman"/>
          <w:sz w:val="24"/>
          <w:szCs w:val="24"/>
        </w:rPr>
        <w:t xml:space="preserve">ая </w:t>
      </w:r>
      <w:r w:rsidRPr="005A404A">
        <w:rPr>
          <w:rFonts w:ascii="Times New Roman" w:hAnsi="Times New Roman" w:cs="Times New Roman"/>
          <w:sz w:val="24"/>
          <w:szCs w:val="24"/>
        </w:rPr>
        <w:t>гаранти</w:t>
      </w:r>
      <w:r w:rsidR="00F75801">
        <w:rPr>
          <w:rFonts w:ascii="Times New Roman" w:hAnsi="Times New Roman" w:cs="Times New Roman"/>
          <w:sz w:val="24"/>
          <w:szCs w:val="24"/>
        </w:rPr>
        <w:t>я</w:t>
      </w:r>
      <w:r w:rsidRPr="005A404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75801">
        <w:rPr>
          <w:rFonts w:ascii="Times New Roman" w:hAnsi="Times New Roman" w:cs="Times New Roman"/>
          <w:sz w:val="24"/>
          <w:szCs w:val="24"/>
        </w:rPr>
        <w:t>а</w:t>
      </w:r>
      <w:r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</w:t>
      </w:r>
      <w:r w:rsidR="00F75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анковск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Покупатель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Принципалом –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предоставляемой </w:t>
      </w:r>
      <w:r w:rsidR="00F75801">
        <w:rPr>
          <w:rFonts w:ascii="Times New Roman" w:hAnsi="Times New Roman"/>
          <w:bCs/>
          <w:sz w:val="24"/>
          <w:szCs w:val="24"/>
        </w:rPr>
        <w:t>б</w:t>
      </w:r>
      <w:r w:rsidRPr="00B40DB7">
        <w:rPr>
          <w:rFonts w:ascii="Times New Roman" w:hAnsi="Times New Roman"/>
          <w:bCs/>
          <w:sz w:val="24"/>
          <w:szCs w:val="24"/>
        </w:rPr>
        <w:t>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lastRenderedPageBreak/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(общая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Standard&amp;Poor’s, Moody’s или Fitch Ratings.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231E8F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должны быть заблаговременно согласованы с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в письменной форме. Проект соответствующей Банковской гарантии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</w:t>
      </w:r>
      <w:r w:rsidR="008835CF">
        <w:rPr>
          <w:rFonts w:ascii="Times New Roman" w:hAnsi="Times New Roman"/>
          <w:bCs/>
          <w:sz w:val="24"/>
          <w:szCs w:val="24"/>
        </w:rPr>
        <w:t xml:space="preserve">Законодательством РФ </w:t>
      </w:r>
      <w:r w:rsidRPr="00FD7415">
        <w:rPr>
          <w:rFonts w:ascii="Times New Roman" w:hAnsi="Times New Roman"/>
          <w:bCs/>
          <w:sz w:val="24"/>
          <w:szCs w:val="24"/>
        </w:rPr>
        <w:t xml:space="preserve">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обязательства, исполнение которого обеспечивается данной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гарантией. Платеж по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должен быть осуществлен Гарантом в течение 5 (Пяти) Рабочих дней после получения Гарантом письменного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и предоставления </w:t>
      </w:r>
      <w:r w:rsidR="008835CF">
        <w:rPr>
          <w:rFonts w:ascii="Times New Roman" w:hAnsi="Times New Roman"/>
          <w:bCs/>
          <w:sz w:val="24"/>
          <w:szCs w:val="24"/>
        </w:rPr>
        <w:t>Покупателем</w:t>
      </w:r>
      <w:r w:rsidRPr="00FD7415">
        <w:rPr>
          <w:rFonts w:ascii="Times New Roman" w:hAnsi="Times New Roman"/>
          <w:bCs/>
          <w:sz w:val="24"/>
          <w:szCs w:val="24"/>
        </w:rPr>
        <w:t xml:space="preserve"> заверенных копий документов, перечисленных в Банковской гарантии. Требование направляется по </w:t>
      </w:r>
      <w:proofErr w:type="spellStart"/>
      <w:r w:rsidR="00C220E4">
        <w:rPr>
          <w:rFonts w:ascii="Times New Roman" w:hAnsi="Times New Roman"/>
          <w:bCs/>
          <w:sz w:val="24"/>
          <w:szCs w:val="24"/>
        </w:rPr>
        <w:t>адпесу</w:t>
      </w:r>
      <w:proofErr w:type="spellEnd"/>
      <w:r w:rsidRPr="00FD7415">
        <w:rPr>
          <w:rFonts w:ascii="Times New Roman" w:hAnsi="Times New Roman"/>
          <w:bCs/>
          <w:sz w:val="24"/>
          <w:szCs w:val="24"/>
        </w:rPr>
        <w:t xml:space="preserve"> Гаранта,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указанному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</w:t>
      </w:r>
      <w:r w:rsidR="00C220E4">
        <w:rPr>
          <w:rFonts w:ascii="Times New Roman" w:hAnsi="Times New Roman"/>
          <w:bCs/>
          <w:sz w:val="24"/>
          <w:szCs w:val="24"/>
        </w:rPr>
        <w:t>ЕГРЮЛ</w:t>
      </w:r>
      <w:r w:rsidRPr="00FD7415">
        <w:rPr>
          <w:rFonts w:ascii="Times New Roman" w:hAnsi="Times New Roman"/>
          <w:bCs/>
          <w:sz w:val="24"/>
          <w:szCs w:val="24"/>
        </w:rPr>
        <w:t xml:space="preserve">. Также возможно направление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через банк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который посредством своего аутентифицированного SWIFT-сообщения подтвердит, что требование подписано уполномоченными лицами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. Сообщение банка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отметки Гаранта о получении в случае, если требование было доставлено непосредственно по адресу Гаранта, указанному в </w:t>
      </w:r>
      <w:r w:rsidR="00C220E4">
        <w:rPr>
          <w:rFonts w:ascii="Times New Roman" w:hAnsi="Times New Roman"/>
          <w:bCs/>
          <w:sz w:val="24"/>
          <w:szCs w:val="24"/>
        </w:rPr>
        <w:t>ЕГРЮЛ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5F5E9F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F5E9F">
        <w:rPr>
          <w:rFonts w:ascii="Times New Roman" w:hAnsi="Times New Roman"/>
          <w:bCs/>
          <w:sz w:val="24"/>
          <w:szCs w:val="24"/>
        </w:rPr>
        <w:t>Поставщик</w:t>
      </w:r>
      <w:r w:rsidR="00235E05" w:rsidRPr="005F5E9F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</w:t>
      </w:r>
      <w:r w:rsidR="00235E05" w:rsidRPr="00764BC7">
        <w:rPr>
          <w:rFonts w:ascii="Times New Roman" w:hAnsi="Times New Roman"/>
          <w:bCs/>
          <w:sz w:val="24"/>
          <w:szCs w:val="24"/>
        </w:rPr>
        <w:t>гарантию лиц и соответствие Гаранта требованиям, установленным настоящим Договором: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лицензия на осуществление банковской деятельности, действующая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документы, удостоверяющие право лица, подписывающего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устав Гаранта со всеми изменениями и дополнениями, зарегистрированными в установленном порядке,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доверенность на уполномоченное лицо, действующее от имени Гаранта (оригинал или копия, заверенная Гарантом) (в случае если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имеются ограничения (подписание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иные документы по запросу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  <w:r w:rsidR="005F5E9F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="00235E05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, по акту приемки-передачи. Дата подписания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м акта приема-передачи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 сопутствующих документов является датой принятия </w:t>
      </w:r>
      <w:r w:rsidR="008835CF">
        <w:rPr>
          <w:rFonts w:ascii="Times New Roman" w:hAnsi="Times New Roman"/>
          <w:bCs/>
          <w:sz w:val="24"/>
          <w:szCs w:val="24"/>
        </w:rPr>
        <w:t>Покупателе</w:t>
      </w:r>
      <w:r w:rsidR="00235E05" w:rsidRPr="00FD7415">
        <w:rPr>
          <w:rFonts w:ascii="Times New Roman" w:hAnsi="Times New Roman"/>
          <w:bCs/>
          <w:sz w:val="24"/>
          <w:szCs w:val="24"/>
        </w:rPr>
        <w:t>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 xml:space="preserve">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>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 xml:space="preserve">направить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которые могут оказать влияние на исполнение обеспеченных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осуществляется при условии предоставления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новых безотзывных банковских гарантий (продления соответствующей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F5E9F">
        <w:rPr>
          <w:rFonts w:ascii="Times New Roman" w:hAnsi="Times New Roman"/>
          <w:bCs/>
          <w:sz w:val="24"/>
          <w:szCs w:val="24"/>
        </w:rPr>
        <w:t>Поставщик</w:t>
      </w:r>
      <w:r w:rsidR="00E74026" w:rsidRPr="005F5E9F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на условиях настоящего Договора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 возврата аванса,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lastRenderedPageBreak/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, предусмотренн</w:t>
      </w:r>
      <w:r w:rsidR="00F33203">
        <w:rPr>
          <w:rFonts w:ascii="Times New Roman" w:hAnsi="Times New Roman"/>
          <w:bCs/>
          <w:sz w:val="24"/>
          <w:szCs w:val="24"/>
        </w:rPr>
        <w:t>ого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33203">
        <w:rPr>
          <w:rFonts w:ascii="Times New Roman" w:hAnsi="Times New Roman"/>
          <w:bCs/>
          <w:sz w:val="24"/>
          <w:szCs w:val="24"/>
        </w:rPr>
        <w:t xml:space="preserve">пунктом </w:t>
      </w:r>
      <w:r w:rsidR="00E74026" w:rsidRPr="0032011A">
        <w:rPr>
          <w:rFonts w:ascii="Times New Roman" w:hAnsi="Times New Roman"/>
          <w:bCs/>
          <w:sz w:val="24"/>
          <w:szCs w:val="24"/>
        </w:rPr>
        <w:t>3.1.</w:t>
      </w:r>
      <w:r w:rsidR="00F33203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по Договору)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</w:t>
      </w:r>
      <w:r w:rsidR="0032011A">
        <w:rPr>
          <w:rFonts w:ascii="Times New Roman" w:hAnsi="Times New Roman"/>
          <w:bCs/>
          <w:sz w:val="24"/>
          <w:szCs w:val="24"/>
        </w:rPr>
        <w:t>1</w:t>
      </w:r>
      <w:r w:rsidR="004D7EA7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Пятнадцать</w:t>
      </w:r>
      <w:r w:rsidRPr="00FD7415">
        <w:rPr>
          <w:rFonts w:ascii="Times New Roman" w:hAnsi="Times New Roman"/>
          <w:bCs/>
          <w:sz w:val="24"/>
          <w:szCs w:val="24"/>
        </w:rPr>
        <w:t xml:space="preserve">) Рабочих дней до даты планируемого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При предоставлении проекта Банковской гарантии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="005066EA"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допускается только с предварительного письменного согласия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я</w:t>
      </w:r>
      <w:r w:rsidRPr="00E74026">
        <w:rPr>
          <w:rFonts w:ascii="Times New Roman" w:hAnsi="Times New Roman"/>
          <w:bCs/>
          <w:sz w:val="24"/>
          <w:szCs w:val="24"/>
        </w:rPr>
        <w:t xml:space="preserve">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E74026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</w:t>
      </w:r>
      <w:r w:rsidR="004D7EA7">
        <w:rPr>
          <w:rFonts w:ascii="Times New Roman" w:hAnsi="Times New Roman"/>
          <w:bCs/>
          <w:sz w:val="24"/>
          <w:szCs w:val="24"/>
        </w:rPr>
        <w:t>10</w:t>
      </w:r>
      <w:r w:rsidRPr="00E74026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Десять</w:t>
      </w:r>
      <w:r w:rsidRPr="00E74026">
        <w:rPr>
          <w:rFonts w:ascii="Times New Roman" w:hAnsi="Times New Roman"/>
          <w:bCs/>
          <w:sz w:val="24"/>
          <w:szCs w:val="24"/>
        </w:rPr>
        <w:t xml:space="preserve">) Рабочих дней до даты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E74026">
        <w:rPr>
          <w:rFonts w:ascii="Times New Roman" w:hAnsi="Times New Roman"/>
          <w:bCs/>
          <w:sz w:val="24"/>
          <w:szCs w:val="24"/>
        </w:rPr>
        <w:t>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непредставления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вправе отложить выплату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 переноса срока выплаты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В этом случае ответственность за соблюдение сроков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должна быть равной сумме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 xml:space="preserve">обеспечивает данная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 этом 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любой момент должна быть не менее суммы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начинаться до планируемой даты перечисления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вансового платежа и заканчиваться не ранее 120 (Ста двадцати) дней после планируемо</w:t>
      </w:r>
      <w:r w:rsidR="00DA0569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даты поставки</w:t>
      </w:r>
      <w:r>
        <w:rPr>
          <w:rFonts w:ascii="Times New Roman" w:hAnsi="Times New Roman"/>
          <w:bCs/>
          <w:sz w:val="24"/>
          <w:szCs w:val="24"/>
        </w:rPr>
        <w:t>.</w:t>
      </w:r>
      <w:r w:rsidR="001732F4">
        <w:rPr>
          <w:rFonts w:ascii="Times New Roman" w:hAnsi="Times New Roman"/>
          <w:bCs/>
          <w:sz w:val="24"/>
          <w:szCs w:val="24"/>
        </w:rPr>
        <w:t xml:space="preserve"> Даты начала и окончания действия банковской гарантии возврата аванса будут определены при согласовании проекта банковской гаранти</w:t>
      </w:r>
      <w:r w:rsidR="005066EA">
        <w:rPr>
          <w:rFonts w:ascii="Times New Roman" w:hAnsi="Times New Roman"/>
          <w:bCs/>
          <w:sz w:val="24"/>
          <w:szCs w:val="24"/>
        </w:rPr>
        <w:t>и в соответствии с пунктом 1.16</w:t>
      </w:r>
      <w:r w:rsidR="001732F4">
        <w:rPr>
          <w:rFonts w:ascii="Times New Roman" w:hAnsi="Times New Roman"/>
          <w:bCs/>
          <w:sz w:val="24"/>
          <w:szCs w:val="24"/>
        </w:rPr>
        <w:t xml:space="preserve"> настоящих требований. 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 по возврату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об уплате суммы по Банковской гарантии предоставляются заверенные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копии документов, подтверждающих выплату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аванса,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вансовы</w:t>
      </w:r>
      <w:r w:rsidR="00642426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гарантия, не погашен,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и представить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доказательство такого продления (новую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lastRenderedPageBreak/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аванса. В случае неисполнения обязанности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предусмотренной настоящим пунктом,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штраф в размере 10 % (Десяти процентов) от суммы Банковской гарантии, а также по требованию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течение 5 (Пяти) рабочих дней вернуть сумму непогашенн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При этом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 также вправе удержать сумму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DC645D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после уплаты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="00DC645D" w:rsidRPr="00DC645D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FD7415">
        <w:rPr>
          <w:rFonts w:ascii="Times New Roman" w:hAnsi="Times New Roman"/>
          <w:bCs/>
          <w:sz w:val="24"/>
          <w:szCs w:val="24"/>
        </w:rPr>
        <w:t>будет установлено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="00DC645D" w:rsidRPr="00FD7415">
        <w:rPr>
          <w:rFonts w:ascii="Times New Roman" w:hAnsi="Times New Roman"/>
          <w:bCs/>
          <w:sz w:val="24"/>
          <w:szCs w:val="24"/>
        </w:rPr>
        <w:t xml:space="preserve"> что</w:t>
      </w:r>
      <w:r w:rsidR="00DC645D">
        <w:rPr>
          <w:rFonts w:ascii="Times New Roman" w:hAnsi="Times New Roman"/>
          <w:bCs/>
          <w:sz w:val="24"/>
          <w:szCs w:val="24"/>
        </w:rPr>
        <w:t>:</w:t>
      </w:r>
    </w:p>
    <w:p w:rsidR="00DC645D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возврата аванса, обеспечивающая возврат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>
        <w:rPr>
          <w:rFonts w:ascii="Times New Roman" w:hAnsi="Times New Roman"/>
          <w:bCs/>
          <w:sz w:val="24"/>
          <w:szCs w:val="24"/>
        </w:rPr>
        <w:t>,</w:t>
      </w:r>
    </w:p>
    <w:p w:rsidR="00DC645D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>
        <w:rPr>
          <w:rFonts w:ascii="Times New Roman" w:hAnsi="Times New Roman"/>
          <w:bCs/>
          <w:sz w:val="24"/>
          <w:szCs w:val="24"/>
        </w:rPr>
        <w:t xml:space="preserve"> имеет информацию о планируемом банкротстве/ликвидации/санации Гаранта, </w:t>
      </w:r>
    </w:p>
    <w:p w:rsidR="00DC645D" w:rsidRPr="00DC645D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DC645D">
        <w:rPr>
          <w:rFonts w:ascii="Times New Roman" w:hAnsi="Times New Roman"/>
          <w:bCs/>
          <w:sz w:val="24"/>
          <w:szCs w:val="24"/>
        </w:rPr>
        <w:t>установленны</w:t>
      </w:r>
      <w:r w:rsidR="0013295B">
        <w:rPr>
          <w:rFonts w:ascii="Times New Roman" w:hAnsi="Times New Roman"/>
          <w:bCs/>
          <w:sz w:val="24"/>
          <w:szCs w:val="24"/>
        </w:rPr>
        <w:t>х</w:t>
      </w:r>
      <w:r w:rsidR="00DC645D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F75801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вернуть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непогашенную часть полученн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Вместо возврата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13295B">
        <w:rPr>
          <w:rFonts w:ascii="Times New Roman" w:hAnsi="Times New Roman"/>
          <w:bCs/>
          <w:sz w:val="24"/>
          <w:szCs w:val="24"/>
        </w:rPr>
        <w:t xml:space="preserve">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гарантию, соответствующую условиям Договора. О своем намерении предоставить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в течение 5 (Пяти) Рабочих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5066EA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5F5E9F" w:rsidRDefault="00DC645D" w:rsidP="005F5E9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анковская гарантия должна быть предоставлена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5066EA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.</w:t>
      </w:r>
    </w:p>
    <w:p w:rsidR="005F5E9F" w:rsidRPr="00764BC7" w:rsidRDefault="005F5E9F" w:rsidP="00764BC7">
      <w:pPr>
        <w:pStyle w:val="a3"/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CB4302">
        <w:rPr>
          <w:rFonts w:ascii="Times New Roman" w:hAnsi="Times New Roman"/>
          <w:b/>
          <w:bCs/>
          <w:sz w:val="24"/>
          <w:szCs w:val="24"/>
        </w:rPr>
        <w:t>1.24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C86577">
        <w:rPr>
          <w:rFonts w:ascii="Times New Roman" w:hAnsi="Times New Roman"/>
          <w:sz w:val="24"/>
          <w:szCs w:val="24"/>
        </w:rPr>
        <w:t>В</w:t>
      </w:r>
      <w:proofErr w:type="gramEnd"/>
      <w:r w:rsidRPr="00C86577">
        <w:rPr>
          <w:rFonts w:ascii="Times New Roman" w:hAnsi="Times New Roman"/>
          <w:sz w:val="24"/>
          <w:szCs w:val="24"/>
        </w:rPr>
        <w:t xml:space="preserve"> случае неисполнения </w:t>
      </w:r>
      <w:r>
        <w:rPr>
          <w:rFonts w:ascii="Times New Roman" w:hAnsi="Times New Roman"/>
          <w:sz w:val="24"/>
          <w:szCs w:val="24"/>
        </w:rPr>
        <w:t>Поставщиком</w:t>
      </w:r>
      <w:r w:rsidRPr="00C86577">
        <w:rPr>
          <w:rFonts w:ascii="Times New Roman" w:hAnsi="Times New Roman"/>
          <w:sz w:val="24"/>
          <w:szCs w:val="24"/>
        </w:rPr>
        <w:t xml:space="preserve"> обязательств, предусмотренных пунктами </w:t>
      </w:r>
      <w:r w:rsidR="005066EA">
        <w:rPr>
          <w:rFonts w:ascii="Times New Roman" w:hAnsi="Times New Roman"/>
          <w:sz w:val="24"/>
          <w:szCs w:val="24"/>
        </w:rPr>
        <w:t>1.22</w:t>
      </w:r>
      <w:r w:rsidRPr="00C86577">
        <w:rPr>
          <w:rFonts w:ascii="Times New Roman" w:hAnsi="Times New Roman"/>
          <w:sz w:val="24"/>
          <w:szCs w:val="24"/>
        </w:rPr>
        <w:t xml:space="preserve"> и </w:t>
      </w:r>
      <w:r w:rsidR="005066EA">
        <w:rPr>
          <w:rFonts w:ascii="Times New Roman" w:hAnsi="Times New Roman"/>
          <w:sz w:val="24"/>
          <w:szCs w:val="24"/>
        </w:rPr>
        <w:t>1.23</w:t>
      </w:r>
      <w:r w:rsidRPr="00C8657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Поставщик</w:t>
      </w:r>
      <w:r w:rsidRPr="00C86577">
        <w:rPr>
          <w:rFonts w:ascii="Times New Roman" w:hAnsi="Times New Roman"/>
          <w:sz w:val="24"/>
          <w:szCs w:val="24"/>
        </w:rPr>
        <w:t xml:space="preserve"> обязуется уплатить </w:t>
      </w:r>
      <w:r>
        <w:rPr>
          <w:rFonts w:ascii="Times New Roman" w:hAnsi="Times New Roman"/>
          <w:sz w:val="24"/>
          <w:szCs w:val="24"/>
        </w:rPr>
        <w:t>покупателю</w:t>
      </w:r>
      <w:r w:rsidRPr="00C86577">
        <w:rPr>
          <w:rFonts w:ascii="Times New Roman" w:hAnsi="Times New Roman"/>
          <w:sz w:val="24"/>
          <w:szCs w:val="24"/>
        </w:rPr>
        <w:t xml:space="preserve"> штраф в размере 10 (десять) процентов от суммы Банковской Гарантии в течение 5 (пяти) Рабочих дней с момента получения письменного требования </w:t>
      </w:r>
      <w:r>
        <w:rPr>
          <w:rFonts w:ascii="Times New Roman" w:hAnsi="Times New Roman"/>
          <w:sz w:val="24"/>
          <w:szCs w:val="24"/>
        </w:rPr>
        <w:t>Покупателя</w:t>
      </w:r>
      <w:r w:rsidRPr="00C86577">
        <w:rPr>
          <w:rFonts w:ascii="Times New Roman" w:hAnsi="Times New Roman"/>
          <w:sz w:val="24"/>
          <w:szCs w:val="24"/>
        </w:rPr>
        <w:t xml:space="preserve">, а также </w:t>
      </w:r>
      <w:r>
        <w:rPr>
          <w:rFonts w:ascii="Times New Roman" w:hAnsi="Times New Roman"/>
          <w:color w:val="000000" w:themeColor="text1"/>
          <w:sz w:val="24"/>
          <w:szCs w:val="24"/>
        </w:rPr>
        <w:t>Покупатель</w:t>
      </w:r>
      <w:r w:rsidRPr="00C86577">
        <w:rPr>
          <w:rFonts w:ascii="Times New Roman" w:hAnsi="Times New Roman"/>
          <w:color w:val="000000" w:themeColor="text1"/>
          <w:sz w:val="24"/>
          <w:szCs w:val="24"/>
        </w:rPr>
        <w:t xml:space="preserve"> вправе производить удержание </w:t>
      </w:r>
      <w:proofErr w:type="spellStart"/>
      <w:r w:rsidRPr="00C86577">
        <w:rPr>
          <w:rFonts w:ascii="Times New Roman" w:hAnsi="Times New Roman"/>
          <w:color w:val="000000" w:themeColor="text1"/>
          <w:sz w:val="24"/>
          <w:szCs w:val="24"/>
        </w:rPr>
        <w:t>незачтенной</w:t>
      </w:r>
      <w:proofErr w:type="spellEnd"/>
      <w:r w:rsidRPr="00C86577">
        <w:rPr>
          <w:rFonts w:ascii="Times New Roman" w:hAnsi="Times New Roman"/>
          <w:color w:val="000000" w:themeColor="text1"/>
          <w:sz w:val="24"/>
          <w:szCs w:val="24"/>
        </w:rPr>
        <w:t xml:space="preserve"> части необеспеченного Авансового Платежа в полном объеме из любых сумм, причитающихся </w:t>
      </w:r>
      <w:r>
        <w:rPr>
          <w:rFonts w:ascii="Times New Roman" w:hAnsi="Times New Roman"/>
          <w:color w:val="000000" w:themeColor="text1"/>
          <w:sz w:val="24"/>
          <w:szCs w:val="24"/>
        </w:rPr>
        <w:t>Поставщику</w:t>
      </w:r>
      <w:r w:rsidRPr="00C86577">
        <w:rPr>
          <w:rFonts w:ascii="Times New Roman" w:hAnsi="Times New Roman"/>
          <w:color w:val="000000" w:themeColor="text1"/>
          <w:sz w:val="24"/>
          <w:szCs w:val="24"/>
        </w:rPr>
        <w:t xml:space="preserve"> в счет оплаты Работ по Договору.</w:t>
      </w:r>
    </w:p>
    <w:p w:rsidR="00DA0569" w:rsidRDefault="0013295B" w:rsidP="00405B6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A0569" w:rsidRDefault="00DA056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C220E4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[адрес]</w:t>
      </w:r>
    </w:p>
    <w:p w:rsidR="00764BC7" w:rsidRPr="00C220E4" w:rsidRDefault="00764BC7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C220E4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764BC7" w:rsidRPr="00C220E4" w:rsidRDefault="00764BC7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</w:t>
      </w:r>
      <w:r w:rsidR="00764BC7">
        <w:rPr>
          <w:rFonts w:ascii="Times New Roman" w:hAnsi="Times New Roman"/>
          <w:sz w:val="24"/>
          <w:szCs w:val="24"/>
        </w:rPr>
        <w:t xml:space="preserve">          «___» ___________ 201</w:t>
      </w:r>
      <w:r w:rsidR="00764BC7" w:rsidRPr="00C220E4">
        <w:rPr>
          <w:rFonts w:ascii="Times New Roman" w:hAnsi="Times New Roman"/>
          <w:sz w:val="24"/>
          <w:szCs w:val="24"/>
        </w:rPr>
        <w:t>7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4BC7" w:rsidRPr="00C220E4" w:rsidRDefault="00764BC7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адрес: (адрес</w:t>
      </w:r>
      <w:r w:rsidR="00C220E4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, реквизиты, лицензия), именуемый в дальнейшем «Гарант», в лице _________________________, действующего на основании __________, по просьбе По</w:t>
      </w:r>
      <w:r w:rsidR="00231E8F">
        <w:rPr>
          <w:rFonts w:ascii="Times New Roman" w:eastAsia="Times New Roman" w:hAnsi="Times New Roman"/>
          <w:sz w:val="24"/>
          <w:szCs w:val="24"/>
          <w:lang w:eastAsia="ru-RU"/>
        </w:rPr>
        <w:t>лное наименование Контрагента (</w:t>
      </w:r>
      <w:bookmarkStart w:id="0" w:name="_GoBack"/>
      <w:bookmarkEnd w:id="0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адрес</w:t>
      </w:r>
      <w:r w:rsidR="00C220E4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», в порядке обеспечения надлежащего исполнения Принципалом обязательств по возврату Авансового платежа по Договору</w:t>
      </w:r>
      <w:r w:rsidR="00231E8F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</w:t>
      </w:r>
      <w:r w:rsidR="00231E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№ ___ от «__»___ 201</w:t>
      </w:r>
      <w:r w:rsidR="00764BC7" w:rsidRPr="00764BC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</w:t>
      </w:r>
      <w:r w:rsidR="00E9062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отказались/ся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 Гаранта</w:t>
      </w:r>
      <w:r w:rsidR="00C220E4">
        <w:rPr>
          <w:rFonts w:ascii="Times New Roman" w:eastAsiaTheme="minorHAnsi" w:hAnsi="Times New Roman"/>
          <w:sz w:val="24"/>
          <w:szCs w:val="24"/>
        </w:rPr>
        <w:t>,</w:t>
      </w:r>
      <w:r w:rsidR="00C220E4" w:rsidRPr="00C22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20E4">
        <w:rPr>
          <w:rFonts w:ascii="Times New Roman" w:eastAsia="Times New Roman" w:hAnsi="Times New Roman"/>
          <w:sz w:val="24"/>
          <w:szCs w:val="24"/>
          <w:lang w:eastAsia="ru-RU"/>
        </w:rPr>
        <w:t>указанному в настоящей Гарантии,</w:t>
      </w:r>
      <w:r w:rsidRPr="0090356F">
        <w:rPr>
          <w:rFonts w:ascii="Times New Roman" w:eastAsiaTheme="minorHAnsi" w:hAnsi="Times New Roman"/>
          <w:sz w:val="24"/>
          <w:szCs w:val="24"/>
        </w:rPr>
        <w:t xml:space="preserve"> посредством направления заказного письма с уведомлением о вручении, курьерской связью с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получением отметки 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Гаранта</w:t>
      </w:r>
      <w:r w:rsidR="00C220E4">
        <w:rPr>
          <w:rFonts w:ascii="Times New Roman" w:eastAsiaTheme="minorHAnsi" w:hAnsi="Times New Roman"/>
          <w:sz w:val="24"/>
          <w:szCs w:val="24"/>
        </w:rPr>
        <w:t>, указанному в настоящей Гарантии</w:t>
      </w:r>
      <w:r w:rsidRPr="0090356F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4. 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7. 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220E4" w:rsidRPr="009C00DF">
        <w:rPr>
          <w:rFonts w:ascii="Times New Roman" w:eastAsia="Times New Roman" w:hAnsi="Times New Roman"/>
          <w:sz w:val="24"/>
          <w:szCs w:val="24"/>
          <w:lang w:eastAsia="ru-RU"/>
        </w:rPr>
        <w:t>соглашение Гаранта с Бенефициаром о прекращении обязательства по настоящей Гарантии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10. Утратившая силу Гарантия возвращается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Гаранту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каких либо дополнительных требований.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12.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14.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196"/>
        <w:gridCol w:w="4409"/>
      </w:tblGrid>
      <w:tr w:rsidR="00870E4E" w:rsidRPr="00870E4E" w:rsidTr="009A1D4D">
        <w:trPr>
          <w:trHeight w:val="46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bCs/>
                <w:i/>
                <w:color w:val="000000"/>
              </w:rPr>
              <w:br w:type="page"/>
            </w:r>
            <w:r w:rsidR="00231E8F">
              <w:rPr>
                <w:rFonts w:ascii="Times New Roman" w:hAnsi="Times New Roman"/>
                <w:color w:val="000000"/>
              </w:rPr>
              <w:t>Заказчик</w:t>
            </w:r>
            <w:r w:rsidRPr="00870E4E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4563" w:type="dxa"/>
          </w:tcPr>
          <w:p w:rsidR="00870E4E" w:rsidRPr="00870E4E" w:rsidRDefault="00231E8F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Подрядчик</w:t>
            </w:r>
            <w:r w:rsidR="00870E4E" w:rsidRPr="00870E4E">
              <w:rPr>
                <w:rFonts w:ascii="Times New Roman" w:hAnsi="Times New Roman"/>
                <w:color w:val="000000"/>
              </w:rPr>
              <w:t>:</w:t>
            </w:r>
          </w:p>
        </w:tc>
      </w:tr>
      <w:tr w:rsidR="00870E4E" w:rsidRPr="00870E4E" w:rsidTr="009A1D4D">
        <w:trPr>
          <w:trHeight w:val="261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</w:tr>
      <w:tr w:rsidR="00870E4E" w:rsidRPr="00870E4E" w:rsidTr="009A1D4D">
        <w:trPr>
          <w:trHeight w:val="53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____________________ / А.С. Савченко /</w:t>
            </w:r>
          </w:p>
        </w:tc>
        <w:tc>
          <w:tcPr>
            <w:tcW w:w="4563" w:type="dxa"/>
          </w:tcPr>
          <w:p w:rsidR="00870E4E" w:rsidRPr="00870E4E" w:rsidRDefault="00870E4E" w:rsidP="00522FBA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___________/</w:t>
            </w:r>
            <w:r w:rsidR="00522FBA">
              <w:rPr>
                <w:rFonts w:ascii="Times New Roman" w:hAnsi="Times New Roman"/>
                <w:color w:val="000000"/>
              </w:rPr>
              <w:t>___________________</w:t>
            </w:r>
            <w:r w:rsidRPr="00870E4E">
              <w:rPr>
                <w:rFonts w:ascii="Times New Roman" w:hAnsi="Times New Roman"/>
                <w:color w:val="000000"/>
              </w:rPr>
              <w:t>/</w:t>
            </w:r>
          </w:p>
        </w:tc>
      </w:tr>
    </w:tbl>
    <w:p w:rsidR="00870E4E" w:rsidRPr="0090356F" w:rsidRDefault="00870E4E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870E4E" w:rsidRPr="0090356F" w:rsidTr="00870E4E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</w:tr>
      <w:tr w:rsidR="00870E4E" w:rsidRPr="0090356F" w:rsidTr="00870E4E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</w:tr>
      <w:tr w:rsidR="00146BE9" w:rsidRPr="0090356F" w:rsidTr="00870E4E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146BE9" w:rsidRPr="0090356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231E8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764B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117F5C"/>
    <w:rsid w:val="0013295B"/>
    <w:rsid w:val="00146BE9"/>
    <w:rsid w:val="001474A4"/>
    <w:rsid w:val="00167B37"/>
    <w:rsid w:val="001732F4"/>
    <w:rsid w:val="001B2F8A"/>
    <w:rsid w:val="001F128E"/>
    <w:rsid w:val="00223D1A"/>
    <w:rsid w:val="00231E8F"/>
    <w:rsid w:val="00235E05"/>
    <w:rsid w:val="0028369E"/>
    <w:rsid w:val="002D0E38"/>
    <w:rsid w:val="0032011A"/>
    <w:rsid w:val="003A04A9"/>
    <w:rsid w:val="003D71F3"/>
    <w:rsid w:val="00405B6B"/>
    <w:rsid w:val="00416863"/>
    <w:rsid w:val="004B0A87"/>
    <w:rsid w:val="004D39AD"/>
    <w:rsid w:val="004D7EA7"/>
    <w:rsid w:val="005066EA"/>
    <w:rsid w:val="00517FB6"/>
    <w:rsid w:val="00522854"/>
    <w:rsid w:val="00522FBA"/>
    <w:rsid w:val="005F090E"/>
    <w:rsid w:val="005F5E9F"/>
    <w:rsid w:val="00642426"/>
    <w:rsid w:val="00721C2E"/>
    <w:rsid w:val="00763F95"/>
    <w:rsid w:val="00764BC7"/>
    <w:rsid w:val="007B0D2A"/>
    <w:rsid w:val="00832E82"/>
    <w:rsid w:val="00870E4E"/>
    <w:rsid w:val="008835CF"/>
    <w:rsid w:val="008A1C57"/>
    <w:rsid w:val="0090356F"/>
    <w:rsid w:val="009B30C7"/>
    <w:rsid w:val="00A13A5B"/>
    <w:rsid w:val="00B36ED9"/>
    <w:rsid w:val="00C220E4"/>
    <w:rsid w:val="00CB4302"/>
    <w:rsid w:val="00D126CD"/>
    <w:rsid w:val="00D35A02"/>
    <w:rsid w:val="00D75916"/>
    <w:rsid w:val="00DA0569"/>
    <w:rsid w:val="00DC645D"/>
    <w:rsid w:val="00DD0543"/>
    <w:rsid w:val="00E74026"/>
    <w:rsid w:val="00E9062D"/>
    <w:rsid w:val="00F33203"/>
    <w:rsid w:val="00F75801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7</cp:revision>
  <cp:lastPrinted>2015-12-17T08:03:00Z</cp:lastPrinted>
  <dcterms:created xsi:type="dcterms:W3CDTF">2017-04-12T15:19:00Z</dcterms:created>
  <dcterms:modified xsi:type="dcterms:W3CDTF">2017-05-17T11:59:00Z</dcterms:modified>
</cp:coreProperties>
</file>